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bidiVisual/>
        <w:tblW w:w="0" w:type="auto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55"/>
        <w:gridCol w:w="5216"/>
      </w:tblGrid>
      <w:tr w:rsidRPr="001220E3" w:rsidR="00DC2273" w:rsidTr="4692FE19" w14:paraId="4D4226D2" w14:textId="77777777">
        <w:trPr>
          <w:trHeight w:val="2445"/>
        </w:trPr>
        <w:tc>
          <w:tcPr>
            <w:tcW w:w="5655" w:type="dxa"/>
            <w:tcMar/>
            <w:vAlign w:val="center"/>
          </w:tcPr>
          <w:p w:rsidRPr="001220E3" w:rsidR="00DC2273" w:rsidP="0086438D" w:rsidRDefault="00DC2273" w14:paraId="3DA0AB59" w14:textId="15766762">
            <w:pPr>
              <w:bidi/>
              <w:ind w:left="360" w:hanging="334"/>
              <w:jc w:val="both"/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</w:pPr>
            <w:r w:rsidRPr="001220E3"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  <w:t xml:space="preserve">المديرية العامة للأمـن العـام                                                                                      </w:t>
            </w:r>
          </w:p>
          <w:p w:rsidRPr="001220E3" w:rsidR="00DC2273" w:rsidP="0086438D" w:rsidRDefault="00EB3C38" w14:paraId="57DA43EE" w14:textId="7A68E933">
            <w:pPr>
              <w:bidi/>
              <w:jc w:val="both"/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</w:pPr>
            <w:r w:rsidRPr="001220E3">
              <w:rPr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1220E3" w:rsidR="00DC227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  </w:t>
            </w:r>
            <w:r w:rsidRPr="001220E3" w:rsidR="00DC2273"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  <w:t>مكتب</w:t>
            </w:r>
            <w:r w:rsidRPr="001220E3" w:rsidR="00DC2273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 xml:space="preserve"> </w:t>
            </w:r>
            <w:r w:rsidRPr="001220E3" w:rsidR="00DC2273"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  <w:t>شـؤون الإعــلام</w:t>
            </w:r>
          </w:p>
        </w:tc>
        <w:tc>
          <w:tcPr>
            <w:tcW w:w="5216" w:type="dxa"/>
            <w:tcMar/>
          </w:tcPr>
          <w:p w:rsidRPr="001220E3" w:rsidR="00DC2273" w:rsidP="0086438D" w:rsidRDefault="00DC2273" w14:paraId="6B6CF00E" w14:textId="77777777">
            <w:pPr>
              <w:bidi/>
              <w:ind w:left="2880" w:firstLine="624"/>
              <w:jc w:val="both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1220E3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54AB929" wp14:editId="1EAE1803">
                  <wp:extent cx="889000" cy="1047750"/>
                  <wp:effectExtent l="19050" t="0" r="6350" b="0"/>
                  <wp:docPr id="22" name="Picture 1" descr="C:\Documents and Settings\Bashir\Desktop\بيان المديرية العامة للأمن العام\new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ashir\Desktop\بيان المديرية العامة للأمن العام\new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220E3" w:rsidR="00DC2273" w:rsidP="0086438D" w:rsidRDefault="00DC2273" w14:paraId="7DD8291E" w14:textId="77777777">
      <w:pPr>
        <w:bidi/>
        <w:rPr>
          <w:sz w:val="32"/>
          <w:szCs w:val="32"/>
          <w:rtl/>
          <w:lang w:bidi="ar-LB"/>
        </w:rPr>
      </w:pPr>
    </w:p>
    <w:p w:rsidRPr="001220E3" w:rsidR="00DC2273" w:rsidP="0086438D" w:rsidRDefault="00DC2273" w14:paraId="377DFC52" w14:textId="77777777">
      <w:pPr>
        <w:bidi/>
        <w:rPr>
          <w:sz w:val="32"/>
          <w:szCs w:val="32"/>
          <w:rtl/>
          <w:lang w:bidi="ar-LB"/>
        </w:rPr>
      </w:pPr>
    </w:p>
    <w:p w:rsidRPr="001220E3" w:rsidR="001E0D93" w:rsidP="001E0D93" w:rsidRDefault="001E0D93" w14:paraId="428D02E4" w14:textId="77777777">
      <w:pPr>
        <w:jc w:val="right"/>
        <w:rPr>
          <w:rFonts w:ascii="Calibri" w:hAnsi="Calibri" w:eastAsia="Calibri" w:cs="Arial"/>
          <w:sz w:val="32"/>
          <w:szCs w:val="32"/>
        </w:rPr>
      </w:pPr>
    </w:p>
    <w:p w:rsidRPr="001220E3" w:rsidR="002646F0" w:rsidP="002646F0" w:rsidRDefault="002646F0" w14:paraId="079F5185" w14:textId="77777777">
      <w:pPr>
        <w:shd w:val="clear" w:color="auto" w:fill="FFFFFF"/>
        <w:bidi/>
        <w:ind w:left="720" w:right="215"/>
        <w:jc w:val="center"/>
        <w:rPr>
          <w:rFonts w:cs="Traditional Arabic"/>
          <w:b/>
          <w:bCs/>
          <w:sz w:val="32"/>
          <w:szCs w:val="32"/>
          <w:u w:val="single"/>
          <w:lang w:bidi="ar-LB"/>
        </w:rPr>
      </w:pPr>
      <w:r w:rsidRPr="001220E3">
        <w:rPr>
          <w:rFonts w:hint="cs" w:cs="Traditional Arabic"/>
          <w:b/>
          <w:bCs/>
          <w:sz w:val="32"/>
          <w:szCs w:val="32"/>
          <w:u w:val="single"/>
          <w:rtl/>
          <w:lang w:bidi="ar-LB"/>
        </w:rPr>
        <w:t>إعلان صادر عن المديرية العامة للأمن العام</w:t>
      </w:r>
    </w:p>
    <w:p w:rsidRPr="001220E3" w:rsidR="002646F0" w:rsidP="002646F0" w:rsidRDefault="002646F0" w14:paraId="0607050E" w14:textId="77777777">
      <w:pPr>
        <w:shd w:val="clear" w:color="auto" w:fill="FFFFFF"/>
        <w:bidi/>
        <w:ind w:left="720" w:right="215"/>
        <w:jc w:val="center"/>
        <w:rPr>
          <w:rFonts w:cs="Traditional Arabic"/>
          <w:b/>
          <w:bCs/>
          <w:sz w:val="32"/>
          <w:szCs w:val="32"/>
          <w:u w:val="single"/>
          <w:lang w:bidi="ar-LB"/>
        </w:rPr>
      </w:pPr>
    </w:p>
    <w:p w:rsidRPr="001220E3" w:rsidR="001220E3" w:rsidP="00940887" w:rsidRDefault="00BD0BF2" w14:paraId="39383515" w14:textId="426AA9DD">
      <w:pPr>
        <w:bidi/>
        <w:ind w:left="259" w:right="270" w:firstLine="461"/>
        <w:jc w:val="lowKashida"/>
        <w:rPr>
          <w:rFonts w:ascii="Traditional Arabic" w:hAnsi="Traditional Arabic" w:eastAsia="Calibri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تُعلن المديرية العامة للأمن العام عن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مهلة المباشرة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ب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إستقبال طلبات 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منح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أو تجديد تفاويض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الممنوحة لموظفي ومندوبي المؤسسات الرسمية والإدارات العامة المختلطة وغير المختلطة وغيرها من الأشخاص المعنويين (شركات...) التي تخولهم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الدخول إلى مباني ومقرات الأمن العام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لتقديم ومتابعة المعاملات العائدة للعمال والعاملات الأجانب الذين يعمل</w:t>
      </w:r>
      <w:r w:rsidR="003B67E0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ون في الشركات او المؤسسات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</w:t>
      </w:r>
      <w:r w:rsidR="003B67E0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وذلك 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اعتباراً من تاريخ </w:t>
      </w:r>
      <w:r w:rsidRPr="001220E3" w:rsidR="003C251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1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/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12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/</w:t>
      </w:r>
      <w:r w:rsidRPr="001220E3" w:rsidR="003C251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202</w:t>
      </w:r>
      <w:r w:rsidR="00C91AA0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4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ولغاية تاريخ 31/</w:t>
      </w:r>
      <w:r w:rsidRPr="001220E3" w:rsidR="00997A15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01</w:t>
      </w:r>
      <w:r w:rsidRPr="001220E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/202</w:t>
      </w:r>
      <w:r w:rsidR="00940887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5</w:t>
      </w:r>
      <w:bookmarkStart w:name="_GoBack" w:id="0"/>
      <w:bookmarkEnd w:id="0"/>
      <w:r w:rsidRPr="001220E3" w:rsidR="003C2513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 xml:space="preserve"> </w:t>
      </w:r>
      <w:r w:rsidRPr="001220E3" w:rsidR="00E4049D">
        <w:rPr>
          <w:rFonts w:ascii="Traditional Arabic" w:hAnsi="Traditional Arabic" w:eastAsia="Calibri" w:cs="Traditional Arabic"/>
          <w:sz w:val="32"/>
          <w:szCs w:val="32"/>
          <w:lang w:bidi="ar-LB"/>
        </w:rPr>
        <w:t>.</w:t>
      </w:r>
    </w:p>
    <w:p w:rsidRPr="001220E3" w:rsidR="00E4049D" w:rsidP="00453080" w:rsidRDefault="00E4049D" w14:paraId="4FE583CB" w14:textId="7242C6FF">
      <w:pPr>
        <w:pStyle w:val="ListParagraph"/>
        <w:numPr>
          <w:ilvl w:val="0"/>
          <w:numId w:val="6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المستندات المطلوبة لإنجاز تفويض (لأول مرة):</w:t>
      </w:r>
    </w:p>
    <w:p w:rsidRPr="001220E3" w:rsidR="00E4049D" w:rsidP="00E4049D" w:rsidRDefault="00E4049D" w14:paraId="231FA30D" w14:textId="09DEB1FF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كتاب من الشركة موجّه للمدير العام للأمن العام </w:t>
      </w:r>
      <w:r w:rsidR="00940887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بالإنابة </w:t>
      </w: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يتضمن (إسم الشركة، عنوانها، نوعية الأعمال التي تقوم بها، فروعها، رقم الهاتف، الإسم</w:t>
      </w:r>
      <w:r w:rsidRPr="001220E3" w:rsidR="00F37EAB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الكامل</w:t>
      </w: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للمندوب مع عنوان سكنه ورقم هاتفه).</w:t>
      </w:r>
    </w:p>
    <w:p w:rsidRPr="001220E3" w:rsidR="00E4049D" w:rsidP="00E4049D" w:rsidRDefault="00E4049D" w14:paraId="55953154" w14:textId="46F4E423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إفادة تثبت أن صاحب الشركة يقوم بمراجعة كافة الإيصالات المالية المسلمة إلى المفوض، وأنه يقوم بمقارنتها مع الرسوم التي تم دفعها في الأمن العام.</w:t>
      </w:r>
    </w:p>
    <w:p w:rsidRPr="001220E3" w:rsidR="00E4049D" w:rsidP="00E4049D" w:rsidRDefault="00E4049D" w14:paraId="3BE0FB51" w14:textId="0CF22FE8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لائحة إسمية بعدد العمال الأجانب الموجودين أو العدد التقريبي للعمال الجدد.</w:t>
      </w:r>
    </w:p>
    <w:p w:rsidRPr="001220E3" w:rsidR="00E4049D" w:rsidP="00E4049D" w:rsidRDefault="00E4049D" w14:paraId="42247FAB" w14:textId="1BB174B4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 عن إقامات العمال الأجانب.</w:t>
      </w:r>
    </w:p>
    <w:p w:rsidRPr="001220E3" w:rsidR="00E4049D" w:rsidP="00E4049D" w:rsidRDefault="00E4049D" w14:paraId="01D6DE5C" w14:textId="132F3B71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تفويض منظم لدى الكاتب العدل.</w:t>
      </w:r>
    </w:p>
    <w:p w:rsidRPr="001220E3" w:rsidR="00E4049D" w:rsidP="00E4049D" w:rsidRDefault="00E4049D" w14:paraId="16080CA9" w14:textId="02CA6402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الإذ</w:t>
      </w:r>
      <w:r w:rsidRPr="001220E3" w:rsidR="00453080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اعة التجارية.</w:t>
      </w:r>
    </w:p>
    <w:p w:rsidRPr="001220E3" w:rsidR="00453080" w:rsidP="00453080" w:rsidRDefault="00453080" w14:paraId="296B59E6" w14:textId="69C72448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هوية صاحب الشركة أو المؤسسة.</w:t>
      </w:r>
    </w:p>
    <w:p w:rsidRPr="001220E3" w:rsidR="00453080" w:rsidP="00453080" w:rsidRDefault="00453080" w14:paraId="17C7D359" w14:textId="23CE6598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بطاقة الضمان للمندوب.</w:t>
      </w:r>
    </w:p>
    <w:p w:rsidRPr="001220E3" w:rsidR="00453080" w:rsidP="00453080" w:rsidRDefault="00453080" w14:paraId="401C30A4" w14:textId="7B9FFA7F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بطاقة الوظيفة أو إفادة وظيفة (من الشركة أو المؤسسة حصراً).</w:t>
      </w:r>
    </w:p>
    <w:p w:rsidRPr="001220E3" w:rsidR="00453080" w:rsidP="00453080" w:rsidRDefault="00453080" w14:paraId="4359CE20" w14:textId="49A06640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السجل التجاري.</w:t>
      </w:r>
    </w:p>
    <w:p w:rsidRPr="001220E3" w:rsidR="00453080" w:rsidP="00453080" w:rsidRDefault="00453080" w14:paraId="297F6FA8" w14:textId="6011AAA5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هوية المفوض أو المندوب.</w:t>
      </w:r>
    </w:p>
    <w:p w:rsidRPr="001220E3" w:rsidR="00453080" w:rsidP="00453080" w:rsidRDefault="00453080" w14:paraId="20CC618C" w14:textId="1D8CFCE7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طابع مالي بقيمة 1000 ليرة لبنانية.</w:t>
      </w:r>
    </w:p>
    <w:p w:rsidRPr="001220E3" w:rsidR="00453080" w:rsidP="00453080" w:rsidRDefault="00453080" w14:paraId="77CFDFE3" w14:textId="0E0C45AD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صورة شمسية (تسلم لدى الحضور لإستلام التفويض الجديد).</w:t>
      </w:r>
    </w:p>
    <w:p w:rsidR="00453080" w:rsidP="00F37EAB" w:rsidRDefault="00453080" w14:paraId="3FF63CBA" w14:textId="74CF8FA0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بدل خدمات مأجورة.</w:t>
      </w:r>
    </w:p>
    <w:p w:rsidRPr="001220E3" w:rsidR="001220E3" w:rsidP="001220E3" w:rsidRDefault="001220E3" w14:paraId="3C592618" w14:textId="77777777">
      <w:pPr>
        <w:pStyle w:val="ListParagraph"/>
        <w:bidi/>
        <w:ind w:left="1080"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</w:p>
    <w:p w:rsidRPr="001220E3" w:rsidR="00453080" w:rsidP="00453080" w:rsidRDefault="00203684" w14:paraId="06466D67" w14:textId="01464175">
      <w:pPr>
        <w:pStyle w:val="ListParagraph"/>
        <w:numPr>
          <w:ilvl w:val="0"/>
          <w:numId w:val="6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المستندات المطل</w:t>
      </w:r>
      <w:r w:rsidRPr="001220E3" w:rsidR="00453080"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وبة لتجديد تفويض:</w:t>
      </w:r>
    </w:p>
    <w:p w:rsidRPr="001220E3" w:rsidR="00453080" w:rsidP="00453080" w:rsidRDefault="00453080" w14:paraId="6034E89F" w14:textId="6AA9B5A0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كتاب تجديد التفويض وأنه ما زال موظف.</w:t>
      </w:r>
    </w:p>
    <w:p w:rsidRPr="001220E3" w:rsidR="00453080" w:rsidP="00453080" w:rsidRDefault="00204288" w14:paraId="0BA9AFDE" w14:textId="26B2D179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إفادة تثبت أن صاحب الش</w:t>
      </w:r>
      <w:r w:rsidRPr="001220E3" w:rsidR="00453080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ركة يقوم بمراجعة كافة الإيصالات المالية المسلمة إلى المفوض، وأنه يقوم بمقارنتها مع الرسوم التي تم دفعها في الأمن العام.</w:t>
      </w:r>
    </w:p>
    <w:p w:rsidRPr="001220E3" w:rsidR="00453080" w:rsidP="00453080" w:rsidRDefault="00453080" w14:paraId="2E4294EC" w14:textId="6689BC0C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لائحة بأسماء العمال الأجانب + نسخ عن إقامات العمال الأجانب.</w:t>
      </w:r>
    </w:p>
    <w:p w:rsidRPr="001220E3" w:rsidR="00453080" w:rsidP="00453080" w:rsidRDefault="00453080" w14:paraId="4D001065" w14:textId="4BCD1949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هوية صاحب الشركة أو المؤسسة.</w:t>
      </w:r>
    </w:p>
    <w:p w:rsidRPr="001220E3" w:rsidR="00453080" w:rsidP="00453080" w:rsidRDefault="00453080" w14:paraId="164FEDBF" w14:textId="2C8933A8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هوية المفوض.</w:t>
      </w:r>
    </w:p>
    <w:p w:rsidRPr="001220E3" w:rsidR="00453080" w:rsidP="00453080" w:rsidRDefault="00A02A62" w14:paraId="268F7B37" w14:textId="19524925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طابع مالي بقيمة 1000 لير</w:t>
      </w:r>
      <w:r w:rsidRPr="001220E3" w:rsidR="00453080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ة لبنانية.</w:t>
      </w:r>
    </w:p>
    <w:p w:rsidRPr="001220E3" w:rsidR="00F37EAB" w:rsidP="00F37EAB" w:rsidRDefault="00F37EAB" w14:paraId="36F1946E" w14:textId="6272829C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التفويض القديم.</w:t>
      </w:r>
    </w:p>
    <w:p w:rsidRPr="001220E3" w:rsidR="00F37EAB" w:rsidP="00F37EAB" w:rsidRDefault="00F37EAB" w14:paraId="0E48204D" w14:textId="175062CD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نسخة عن الإذاعة التجارية والسجل التجاري.</w:t>
      </w:r>
    </w:p>
    <w:p w:rsidRPr="001220E3" w:rsidR="00453080" w:rsidP="00453080" w:rsidRDefault="00453080" w14:paraId="0D12F2F5" w14:textId="77777777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صورة شمسية (تسلم لدى الحضور لإستلام التفويض الجديد).</w:t>
      </w:r>
    </w:p>
    <w:p w:rsidRPr="00B6464C" w:rsidR="001220E3" w:rsidP="00B6464C" w:rsidRDefault="00453080" w14:paraId="37F1257E" w14:textId="7B881140">
      <w:pPr>
        <w:pStyle w:val="ListParagraph"/>
        <w:numPr>
          <w:ilvl w:val="0"/>
          <w:numId w:val="5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>بدل خدمات مأجورة.</w:t>
      </w:r>
    </w:p>
    <w:p w:rsidR="00B6464C" w:rsidP="00B6464C" w:rsidRDefault="001220E3" w14:paraId="1948779D" w14:textId="6A589F06">
      <w:pPr>
        <w:pStyle w:val="ListParagraph"/>
        <w:bidi/>
        <w:ind w:left="1080"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  <w:r w:rsidRPr="001220E3"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ملاحظة:</w:t>
      </w:r>
      <w:r w:rsidRPr="001220E3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وجوب تسليم التفويض القديم (لدى الحضور لإستلام التفويض الجديد) بحالة جيدة دون أي تمزيق أو تحريف في وقوعاته أو في الصورة الملصقة عليه.</w:t>
      </w:r>
    </w:p>
    <w:p w:rsidRPr="001220E3" w:rsidR="00B6464C" w:rsidP="00B6464C" w:rsidRDefault="00B6464C" w14:paraId="0F0A3E8E" w14:textId="77777777">
      <w:pPr>
        <w:pStyle w:val="ListParagraph"/>
        <w:bidi/>
        <w:ind w:left="1080"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</w:p>
    <w:p w:rsidRPr="00B6464C" w:rsidR="00B6464C" w:rsidP="00B6464C" w:rsidRDefault="00B6464C" w14:paraId="64D98CD5" w14:textId="163BCBE8">
      <w:pPr>
        <w:pStyle w:val="ListParagraph"/>
        <w:numPr>
          <w:ilvl w:val="0"/>
          <w:numId w:val="6"/>
        </w:numPr>
        <w:bidi/>
        <w:ind w:right="270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B6464C"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المكان:</w:t>
      </w:r>
      <w:r w:rsidRPr="00B6464C"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ت</w:t>
      </w:r>
      <w:r>
        <w:rPr>
          <w:rFonts w:hint="cs" w:ascii="Traditional Arabic" w:hAnsi="Traditional Arabic" w:cs="Traditional Arabic"/>
          <w:sz w:val="32"/>
          <w:szCs w:val="32"/>
          <w:rtl/>
          <w:lang w:bidi="ar-LB"/>
        </w:rPr>
        <w:t xml:space="preserve">ُقدم </w:t>
      </w: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طلبات</w:t>
      </w:r>
      <w:r>
        <w:rPr>
          <w:rFonts w:hint="cs" w:ascii="Traditional Arabic" w:hAnsi="Traditional Arabic" w:cs="Traditional Arabic"/>
          <w:sz w:val="32"/>
          <w:szCs w:val="32"/>
          <w:rtl/>
          <w:lang w:bidi="ar-LB"/>
        </w:rPr>
        <w:t xml:space="preserve"> منح أو تجديد التفاويض</w:t>
      </w: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  <w:lang w:bidi="ar-LB"/>
        </w:rPr>
        <w:t xml:space="preserve">في </w:t>
      </w:r>
      <w:r w:rsidRPr="001220E3"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المبنى المركزي رقم -1-، أمانة السر العامة</w:t>
      </w:r>
      <w:r>
        <w:rPr>
          <w:rFonts w:hint="cs" w:ascii="Traditional Arabic" w:hAnsi="Traditional Arabic" w:cs="Traditional Arabic"/>
          <w:sz w:val="32"/>
          <w:szCs w:val="32"/>
          <w:rtl/>
          <w:lang w:bidi="ar-LB"/>
        </w:rPr>
        <w:t>، الطابق الأول.</w:t>
      </w:r>
    </w:p>
    <w:p w:rsidRPr="001220E3" w:rsidR="00BD0BF2" w:rsidP="00B6464C" w:rsidRDefault="00B6464C" w14:paraId="2293C69F" w14:textId="67E6B2C0">
      <w:pPr>
        <w:bidi/>
        <w:ind w:left="259" w:right="270" w:firstLine="461"/>
        <w:jc w:val="lowKashida"/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  <w:tab/>
      </w:r>
      <w:r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  <w:tab/>
      </w:r>
      <w:r w:rsidRPr="001220E3" w:rsidR="00BD0BF2">
        <w:rPr>
          <w:rFonts w:hint="cs" w:ascii="Traditional Arabic" w:hAnsi="Traditional Arabic" w:eastAsia="Calibri" w:cs="Traditional Arabic"/>
          <w:sz w:val="32"/>
          <w:szCs w:val="32"/>
          <w:rtl/>
          <w:lang w:bidi="ar-LB"/>
        </w:rPr>
        <w:t>لمزيد من المعلومات يمكن زيارة موقع المديرية العامة للأمن العام على شبكة الإنترنت:</w:t>
      </w:r>
    </w:p>
    <w:p w:rsidRPr="001220E3" w:rsidR="002646F0" w:rsidP="00F37EAB" w:rsidRDefault="00BD0BF2" w14:paraId="47FE4379" w14:textId="59C5D892">
      <w:pPr>
        <w:bidi/>
        <w:ind w:left="259" w:right="270"/>
        <w:jc w:val="lowKashida"/>
        <w:rPr>
          <w:rFonts w:ascii="Traditional Arabic" w:hAnsi="Traditional Arabic" w:eastAsia="Calibri" w:cs="Traditional Arabic"/>
          <w:b/>
          <w:bCs/>
          <w:sz w:val="32"/>
          <w:szCs w:val="32"/>
          <w:rtl/>
          <w:lang w:bidi="ar-LB"/>
        </w:rPr>
      </w:pPr>
      <w:r w:rsidRPr="001220E3"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  <w:tab/>
      </w:r>
      <w:r w:rsidRPr="001220E3"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  <w:tab/>
      </w:r>
      <w:r w:rsidRPr="001220E3">
        <w:rPr>
          <w:rFonts w:ascii="Traditional Arabic" w:hAnsi="Traditional Arabic" w:eastAsia="Calibri" w:cs="Traditional Arabic"/>
          <w:sz w:val="32"/>
          <w:szCs w:val="32"/>
          <w:rtl/>
          <w:lang w:bidi="ar-LB"/>
        </w:rPr>
        <w:tab/>
      </w:r>
      <w:r w:rsidRPr="001220E3">
        <w:rPr>
          <w:rFonts w:ascii="Traditional Arabic" w:hAnsi="Traditional Arabic" w:eastAsia="Calibri" w:cs="Traditional Arabic"/>
          <w:sz w:val="32"/>
          <w:szCs w:val="32"/>
          <w:lang w:bidi="ar-LB"/>
        </w:rPr>
        <w:t xml:space="preserve"> </w:t>
      </w:r>
      <w:r w:rsidRPr="001220E3">
        <w:rPr>
          <w:rFonts w:ascii="Traditional Arabic" w:hAnsi="Traditional Arabic" w:eastAsia="Calibri" w:cs="Traditional Arabic"/>
          <w:sz w:val="32"/>
          <w:szCs w:val="32"/>
          <w:lang w:bidi="ar-LB"/>
        </w:rPr>
        <w:tab/>
      </w:r>
      <w:r w:rsidRPr="001220E3">
        <w:rPr>
          <w:rFonts w:ascii="Traditional Arabic" w:hAnsi="Traditional Arabic" w:eastAsia="Calibri" w:cs="Traditional Arabic"/>
          <w:sz w:val="32"/>
          <w:szCs w:val="32"/>
          <w:lang w:bidi="ar-LB"/>
        </w:rPr>
        <w:t xml:space="preserve">  </w:t>
      </w:r>
      <w:r w:rsidRPr="001220E3">
        <w:rPr>
          <w:rFonts w:ascii="Traditional Arabic" w:hAnsi="Traditional Arabic" w:eastAsia="Calibri" w:cs="Traditional Arabic"/>
          <w:b/>
          <w:bCs/>
          <w:sz w:val="32"/>
          <w:szCs w:val="32"/>
          <w:lang w:bidi="ar-LB"/>
        </w:rPr>
        <w:t>www.general-security.gov.lb</w:t>
      </w:r>
    </w:p>
    <w:p w:rsidR="001220E3" w:rsidP="00997A15" w:rsidRDefault="002646F0" w14:paraId="7B750B49" w14:textId="77777777">
      <w:pPr>
        <w:tabs>
          <w:tab w:val="left" w:pos="1530"/>
          <w:tab w:val="right" w:pos="10347"/>
        </w:tabs>
        <w:bidi/>
        <w:ind w:right="-360"/>
        <w:rPr>
          <w:rFonts w:cs="Traditional Arabic"/>
          <w:sz w:val="32"/>
          <w:szCs w:val="32"/>
          <w:rtl/>
        </w:rPr>
      </w:pPr>
      <w:r w:rsidRPr="001220E3">
        <w:rPr>
          <w:rFonts w:hint="cs" w:cs="Traditional Arabic"/>
          <w:sz w:val="32"/>
          <w:szCs w:val="32"/>
          <w:rtl/>
        </w:rPr>
        <w:t xml:space="preserve">                                                                                  </w:t>
      </w:r>
      <w:r w:rsidR="001220E3">
        <w:rPr>
          <w:rFonts w:hint="cs" w:cs="Traditional Arabic"/>
          <w:sz w:val="32"/>
          <w:szCs w:val="32"/>
          <w:rtl/>
        </w:rPr>
        <w:t xml:space="preserve">                  </w:t>
      </w:r>
    </w:p>
    <w:p w:rsidRPr="001220E3" w:rsidR="002646F0" w:rsidP="00C91AA0" w:rsidRDefault="001220E3" w14:paraId="006F6336" w14:textId="710AD385">
      <w:pPr>
        <w:tabs>
          <w:tab w:val="left" w:pos="1530"/>
          <w:tab w:val="right" w:pos="10347"/>
        </w:tabs>
        <w:bidi/>
        <w:ind w:right="-360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/>
          <w:sz w:val="32"/>
          <w:szCs w:val="32"/>
          <w:rtl/>
        </w:rPr>
        <w:tab/>
      </w:r>
      <w:r>
        <w:rPr>
          <w:rFonts w:hint="cs" w:cs="Traditional Arabic"/>
          <w:sz w:val="32"/>
          <w:szCs w:val="32"/>
          <w:rtl/>
        </w:rPr>
        <w:t xml:space="preserve">                                                                                  </w:t>
      </w:r>
      <w:r w:rsidRPr="001220E3" w:rsidR="00AD36CD">
        <w:rPr>
          <w:rFonts w:hint="cs" w:cs="Traditional Arabic"/>
          <w:sz w:val="32"/>
          <w:szCs w:val="32"/>
          <w:rtl/>
        </w:rPr>
        <w:t>تاريخ</w:t>
      </w:r>
      <w:r w:rsidRPr="001220E3" w:rsidR="00AD36CD">
        <w:rPr>
          <w:rFonts w:hint="cs" w:cs="Traditional Arabic"/>
          <w:sz w:val="32"/>
          <w:szCs w:val="32"/>
          <w:rtl/>
          <w:lang w:bidi="ar-LB"/>
        </w:rPr>
        <w:t xml:space="preserve"> </w:t>
      </w:r>
      <w:r w:rsidR="00C91AA0">
        <w:rPr>
          <w:rFonts w:hint="cs" w:cs="Traditional Arabic"/>
          <w:sz w:val="32"/>
          <w:szCs w:val="32"/>
          <w:rtl/>
          <w:lang w:bidi="ar-LB"/>
        </w:rPr>
        <w:t>11</w:t>
      </w:r>
      <w:r w:rsidRPr="001220E3" w:rsidR="002646F0">
        <w:rPr>
          <w:rFonts w:hint="cs" w:cs="Traditional Arabic"/>
          <w:sz w:val="32"/>
          <w:szCs w:val="32"/>
          <w:rtl/>
        </w:rPr>
        <w:t>/</w:t>
      </w:r>
      <w:r w:rsidRPr="001220E3" w:rsidR="00997A15">
        <w:rPr>
          <w:rFonts w:hint="cs" w:cs="Traditional Arabic"/>
          <w:sz w:val="32"/>
          <w:szCs w:val="32"/>
          <w:rtl/>
        </w:rPr>
        <w:t>11</w:t>
      </w:r>
      <w:r w:rsidRPr="001220E3" w:rsidR="002646F0">
        <w:rPr>
          <w:rFonts w:hint="cs" w:cs="Traditional Arabic"/>
          <w:sz w:val="32"/>
          <w:szCs w:val="32"/>
          <w:rtl/>
        </w:rPr>
        <w:t>/</w:t>
      </w:r>
      <w:r w:rsidRPr="001220E3" w:rsidR="003C2513">
        <w:rPr>
          <w:rFonts w:hint="cs" w:cs="Traditional Arabic"/>
          <w:sz w:val="32"/>
          <w:szCs w:val="32"/>
          <w:rtl/>
        </w:rPr>
        <w:t>202</w:t>
      </w:r>
      <w:r w:rsidR="00C91AA0">
        <w:rPr>
          <w:rFonts w:hint="cs" w:cs="Traditional Arabic"/>
          <w:sz w:val="32"/>
          <w:szCs w:val="32"/>
          <w:rtl/>
        </w:rPr>
        <w:t>4</w:t>
      </w:r>
    </w:p>
    <w:p w:rsidRPr="001220E3" w:rsidR="003C2513" w:rsidP="003C2513" w:rsidRDefault="002646F0" w14:paraId="07A0E7F6" w14:textId="42EF8BF4">
      <w:pPr>
        <w:tabs>
          <w:tab w:val="right" w:pos="10347"/>
        </w:tabs>
        <w:bidi/>
        <w:ind w:left="-93" w:right="-360"/>
        <w:jc w:val="both"/>
        <w:rPr>
          <w:rFonts w:ascii="Calibri" w:hAnsi="Calibri" w:eastAsia="Calibri" w:cs="Traditional Arabic"/>
          <w:sz w:val="32"/>
          <w:szCs w:val="32"/>
          <w:rtl/>
          <w:lang w:bidi="ar-LB"/>
        </w:rPr>
      </w:pPr>
      <w:r w:rsidRPr="001220E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                                                                                          رئيس مكتب شؤون الاعلام</w:t>
      </w:r>
    </w:p>
    <w:p w:rsidRPr="001220E3" w:rsidR="002646F0" w:rsidP="00997A15" w:rsidRDefault="002646F0" w14:paraId="75CDC119" w14:textId="244BDEE8">
      <w:pPr>
        <w:bidi/>
        <w:ind w:left="-3" w:right="-360"/>
        <w:jc w:val="both"/>
        <w:rPr>
          <w:rFonts w:ascii="Calibri" w:hAnsi="Calibri" w:eastAsia="Calibri" w:cs="Traditional Arabic"/>
          <w:sz w:val="32"/>
          <w:szCs w:val="32"/>
          <w:lang w:bidi="ar-LB"/>
        </w:rPr>
      </w:pPr>
      <w:r w:rsidRPr="001220E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                                             </w:t>
      </w:r>
      <w:r w:rsidRPr="001220E3" w:rsidR="00DA1A7A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                      </w:t>
      </w:r>
      <w:r w:rsidRPr="001220E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</w:t>
      </w:r>
      <w:r w:rsidR="00C91AA0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</w:t>
      </w:r>
      <w:r w:rsidRPr="001220E3" w:rsidR="003C251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</w:t>
      </w:r>
      <w:r w:rsidRPr="001220E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</w:t>
      </w:r>
      <w:r w:rsidR="00C91AA0">
        <w:rPr>
          <w:rFonts w:hint="cs" w:ascii="Calibri" w:hAnsi="Calibri" w:eastAsia="Calibri" w:cs="Traditional Arabic"/>
          <w:sz w:val="32"/>
          <w:szCs w:val="32"/>
          <w:rtl/>
          <w:lang w:bidi="ar-LB"/>
        </w:rPr>
        <w:t>العميد الركن بشارة بو حمد</w:t>
      </w:r>
      <w:r w:rsidRPr="001220E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</w:t>
      </w:r>
    </w:p>
    <w:p w:rsidRPr="001220E3" w:rsidR="00CB0621" w:rsidP="007F24E5" w:rsidRDefault="00841130" w14:paraId="7725EEE5" w14:textId="360A8C90">
      <w:pPr>
        <w:bidi/>
        <w:ind w:left="-3" w:right="-360"/>
        <w:jc w:val="both"/>
        <w:rPr>
          <w:rFonts w:ascii="Calibri" w:hAnsi="Calibri" w:eastAsia="Calibri" w:cs="Traditional Arabic"/>
          <w:sz w:val="32"/>
          <w:szCs w:val="32"/>
          <w:lang w:bidi="ar-LB"/>
        </w:rPr>
      </w:pPr>
      <w:r w:rsidRPr="001220E3">
        <w:rPr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17DBF4D2" wp14:editId="6C4BEBEF">
            <wp:simplePos x="0" y="0"/>
            <wp:positionH relativeFrom="margin">
              <wp:posOffset>549910</wp:posOffset>
            </wp:positionH>
            <wp:positionV relativeFrom="margin">
              <wp:posOffset>8037830</wp:posOffset>
            </wp:positionV>
            <wp:extent cx="652145" cy="9099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0E3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7A73340" wp14:editId="2465E8CE">
            <wp:simplePos x="0" y="0"/>
            <wp:positionH relativeFrom="margin">
              <wp:posOffset>-145097</wp:posOffset>
            </wp:positionH>
            <wp:positionV relativeFrom="margin">
              <wp:posOffset>7964487</wp:posOffset>
            </wp:positionV>
            <wp:extent cx="642620" cy="935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0E3" w:rsidR="00DC2273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                                        </w:t>
      </w:r>
      <w:r w:rsidRPr="001220E3" w:rsidR="007F24E5">
        <w:rPr>
          <w:rFonts w:hint="cs" w:ascii="Calibri" w:hAnsi="Calibri" w:eastAsia="Calibri" w:cs="Traditional Arabic"/>
          <w:sz w:val="32"/>
          <w:szCs w:val="32"/>
          <w:rtl/>
          <w:lang w:bidi="ar-LB"/>
        </w:rPr>
        <w:t xml:space="preserve">                  </w:t>
      </w:r>
    </w:p>
    <w:sectPr w:rsidRPr="001220E3" w:rsidR="00CB0621" w:rsidSect="007F24E5">
      <w:pgSz w:w="12240" w:h="15840" w:orient="portrait"/>
      <w:pgMar w:top="540" w:right="900" w:bottom="0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241"/>
    <w:multiLevelType w:val="hybridMultilevel"/>
    <w:tmpl w:val="F594B2E6"/>
    <w:lvl w:ilvl="0" w:tplc="4608F4E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D7DEE"/>
    <w:multiLevelType w:val="hybridMultilevel"/>
    <w:tmpl w:val="5DC0FF50"/>
    <w:lvl w:ilvl="0" w:tplc="1812C93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FC294D"/>
    <w:multiLevelType w:val="hybridMultilevel"/>
    <w:tmpl w:val="872E4F02"/>
    <w:lvl w:ilvl="0" w:tplc="A9E2EBDA">
      <w:numFmt w:val="bullet"/>
      <w:lvlText w:val="-"/>
      <w:lvlJc w:val="left"/>
      <w:pPr>
        <w:ind w:left="1080" w:hanging="360"/>
      </w:pPr>
      <w:rPr>
        <w:rFonts w:hint="default" w:ascii="Traditional Arabic" w:hAnsi="Traditional Arabic" w:eastAsia="Calibri" w:cs="Traditional Arabi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0255B76"/>
    <w:multiLevelType w:val="hybridMultilevel"/>
    <w:tmpl w:val="62166AFE"/>
    <w:lvl w:ilvl="0" w:tplc="2B3058A0">
      <w:numFmt w:val="bullet"/>
      <w:lvlText w:val="-"/>
      <w:lvlJc w:val="left"/>
      <w:pPr>
        <w:ind w:left="357" w:hanging="360"/>
      </w:pPr>
      <w:rPr>
        <w:rFonts w:hint="default" w:ascii="Traditional Arabic" w:hAnsi="Traditional Arabic" w:eastAsia="Calibri" w:cs="Traditional Arabic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4" w15:restartNumberingAfterBreak="0">
    <w:nsid w:val="60143742"/>
    <w:multiLevelType w:val="hybridMultilevel"/>
    <w:tmpl w:val="E65CDA08"/>
    <w:lvl w:ilvl="0" w:tplc="5FCEDA08">
      <w:numFmt w:val="bullet"/>
      <w:lvlText w:val="-"/>
      <w:lvlJc w:val="left"/>
      <w:pPr>
        <w:ind w:left="-191" w:hanging="360"/>
      </w:pPr>
      <w:rPr>
        <w:rFonts w:hint="default" w:ascii="Traditional Arabic" w:hAnsi="Traditional Arabic" w:eastAsia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52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24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96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8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40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12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84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569" w:hanging="360"/>
      </w:pPr>
      <w:rPr>
        <w:rFonts w:hint="default" w:ascii="Wingdings" w:hAnsi="Wingdings"/>
      </w:rPr>
    </w:lvl>
  </w:abstractNum>
  <w:abstractNum w:abstractNumId="5" w15:restartNumberingAfterBreak="0">
    <w:nsid w:val="766964A6"/>
    <w:multiLevelType w:val="hybridMultilevel"/>
    <w:tmpl w:val="176E609C"/>
    <w:lvl w:ilvl="0" w:tplc="DD3CCE9E">
      <w:numFmt w:val="bullet"/>
      <w:lvlText w:val="-"/>
      <w:lvlJc w:val="left"/>
      <w:pPr>
        <w:ind w:left="357" w:hanging="360"/>
      </w:pPr>
      <w:rPr>
        <w:rFonts w:hint="default" w:ascii="Traditional Arabic" w:hAnsi="Traditional Arabic" w:eastAsia="Calibri" w:cs="Traditional Arabic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F5"/>
    <w:rsid w:val="00074570"/>
    <w:rsid w:val="000B35FD"/>
    <w:rsid w:val="000B771B"/>
    <w:rsid w:val="000E3FFD"/>
    <w:rsid w:val="001006DF"/>
    <w:rsid w:val="0010774E"/>
    <w:rsid w:val="001220E3"/>
    <w:rsid w:val="001A3C49"/>
    <w:rsid w:val="001E0D93"/>
    <w:rsid w:val="00203684"/>
    <w:rsid w:val="00204288"/>
    <w:rsid w:val="002646F0"/>
    <w:rsid w:val="002A00D0"/>
    <w:rsid w:val="002D35A0"/>
    <w:rsid w:val="00350312"/>
    <w:rsid w:val="0037520F"/>
    <w:rsid w:val="003B67E0"/>
    <w:rsid w:val="003C2513"/>
    <w:rsid w:val="003D1845"/>
    <w:rsid w:val="0041776E"/>
    <w:rsid w:val="0044097A"/>
    <w:rsid w:val="0044550B"/>
    <w:rsid w:val="00453080"/>
    <w:rsid w:val="004856EB"/>
    <w:rsid w:val="004C4498"/>
    <w:rsid w:val="00554254"/>
    <w:rsid w:val="005639D7"/>
    <w:rsid w:val="005717B6"/>
    <w:rsid w:val="005C381D"/>
    <w:rsid w:val="005F5562"/>
    <w:rsid w:val="0064494E"/>
    <w:rsid w:val="0075136D"/>
    <w:rsid w:val="00765A30"/>
    <w:rsid w:val="007D4E14"/>
    <w:rsid w:val="007F24E5"/>
    <w:rsid w:val="007F5AE1"/>
    <w:rsid w:val="00802563"/>
    <w:rsid w:val="00821AC7"/>
    <w:rsid w:val="00841130"/>
    <w:rsid w:val="0086438D"/>
    <w:rsid w:val="008772DB"/>
    <w:rsid w:val="008C76EF"/>
    <w:rsid w:val="00940887"/>
    <w:rsid w:val="00997A15"/>
    <w:rsid w:val="009D0635"/>
    <w:rsid w:val="009F0391"/>
    <w:rsid w:val="00A02A62"/>
    <w:rsid w:val="00A04B4A"/>
    <w:rsid w:val="00A2041B"/>
    <w:rsid w:val="00A323F5"/>
    <w:rsid w:val="00A51157"/>
    <w:rsid w:val="00A868A0"/>
    <w:rsid w:val="00A903FE"/>
    <w:rsid w:val="00A941AC"/>
    <w:rsid w:val="00AD36CD"/>
    <w:rsid w:val="00B23BB2"/>
    <w:rsid w:val="00B6464C"/>
    <w:rsid w:val="00B931F5"/>
    <w:rsid w:val="00BA58C0"/>
    <w:rsid w:val="00BC2D30"/>
    <w:rsid w:val="00BD0BF2"/>
    <w:rsid w:val="00BE5CBD"/>
    <w:rsid w:val="00C75F82"/>
    <w:rsid w:val="00C91AA0"/>
    <w:rsid w:val="00CB0621"/>
    <w:rsid w:val="00CC5ADE"/>
    <w:rsid w:val="00CD2B6A"/>
    <w:rsid w:val="00CE2DDC"/>
    <w:rsid w:val="00D21A0F"/>
    <w:rsid w:val="00D54DC8"/>
    <w:rsid w:val="00D87C46"/>
    <w:rsid w:val="00DA1A7A"/>
    <w:rsid w:val="00DB3506"/>
    <w:rsid w:val="00DC2273"/>
    <w:rsid w:val="00E4049D"/>
    <w:rsid w:val="00E92B8A"/>
    <w:rsid w:val="00EB1FF1"/>
    <w:rsid w:val="00EB2200"/>
    <w:rsid w:val="00EB3C38"/>
    <w:rsid w:val="00F06786"/>
    <w:rsid w:val="00F37EAB"/>
    <w:rsid w:val="00F62B28"/>
    <w:rsid w:val="00F94310"/>
    <w:rsid w:val="00FD32BA"/>
    <w:rsid w:val="4692F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F03C"/>
  <w15:docId w15:val="{F0EE424D-A609-4C8F-9744-665E4155D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6E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EB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4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B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7520F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ews-title" w:customStyle="1">
    <w:name w:val="news-title"/>
    <w:rsid w:val="001E0D93"/>
  </w:style>
  <w:style w:type="character" w:styleId="news-desc" w:customStyle="1">
    <w:name w:val="news-desc"/>
    <w:rsid w:val="001E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styles" Target="styles.xml" Id="rId3" /><Relationship Type="http://schemas.openxmlformats.org/officeDocument/2006/relationships/image" Target="media/image2.emf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C7E1-E54E-467E-A672-29D056E92B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Guest User</lastModifiedBy>
  <revision>22</revision>
  <lastPrinted>2024-11-11T12:55:00.0000000Z</lastPrinted>
  <dcterms:created xsi:type="dcterms:W3CDTF">2021-11-04T11:47:00.0000000Z</dcterms:created>
  <dcterms:modified xsi:type="dcterms:W3CDTF">2024-11-11T13:23:43.7704061Z</dcterms:modified>
</coreProperties>
</file>